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79</w:t>
      </w:r>
    </w:p>
    <w:p>
      <w:r>
        <w:t>Bundesgericht (BGE), 1984-07-23, FR</w:t>
      </w:r>
    </w:p>
    <w:p>
      <w:r>
        <w:rPr>
          <w:b/>
        </w:rPr>
        <w:t xml:space="preserve">Quelle: </w:t>
      </w:r>
      <w:r>
        <w:t>https://mcp.opencaselaw.ch/entscheid/bge_114 II 79</w:t>
      </w:r>
    </w:p>
    <w:p>
      <w:r>
        <w:t>FR: ATF 114 II 79</w:t>
      </w:r>
    </w:p>
    <w:p>
      <w:r>
        <w:t>IT: DTF 114 II 79</w:t>
      </w:r>
    </w:p>
    <w:p>
      <w:pPr>
        <w:pStyle w:val="Heading2"/>
      </w:pPr>
      <w:r>
        <w:t>Regeste</w:t>
      </w:r>
    </w:p>
    <w:p>
      <w:r>
        <w:t>Regeste Mietvertrag; Vergeltungskündigung; Rechtsmissbrauch. Schutz vor einer als Vergeltungsmassnahme ausgesprochenen Kündigung wird nur jenem Mieter gewährt, der seine Rechte gesetzeskonform ausübt. Rechtsmissbrauch durch den Mieter: Begriff und Beweislast.</w:t>
      </w:r>
    </w:p>
    <w:p>
      <w:pPr>
        <w:pStyle w:val="Heading2"/>
      </w:pPr>
      <w:r>
        <w:t>Erwägungen</w:t>
      </w:r>
    </w:p>
    <w:p>
      <w:r>
        <w:rPr>
          <w:b/>
        </w:rPr>
        <w:t>E. 3</w:t>
      </w:r>
    </w:p>
    <w:p>
      <w:r>
        <w:t>a) L' art. 31 ch. 1 al. 2 AMSL prévoit notamment qu'est punissable pénalement celui qui aura dénoncé le bail parce que le locataire sauvegarde les droits que l'arrêté fédéral lui confère. BGE 114 II 79 S. 81 L'hypothèse ainsi visée est celle où le bailleur dénonce le contrat pour sanctionner le comportement du locataire qui use de ses droits conformément à la loi ( ATF 106 IV 71 ), soit notamment le congé de représailles lié à l'application de l'arrêté. La disposition s'applique non seulement lorsque le locataire fait valoir présentement des droits, mais également lorsqu'il les a fait valoir (cf. ATF 111 II 387 ). En dépit des temps présent et futur employés dans son texte, l'art. 31 ch. 1 al. 2 s'applique évidemment aussi au cas où le locataire "a sauvegardé" ses droits. Cela ressort clairement du but de la loi, qui entend réprimer les représailles et la vengeance ( ATF 113 II 462 consid. 3b; HARARI, Aspects du droit pénal de l'AMSL, 4e Séminaire sur le bail à loyer, Neuchâtel 1986, p. 6; cf. aussi la jurisprudence genevoise citée par GULLY-HART, Aperçu de la jurisprudence, in SJ 1984, p. 541, n. 10). Cependant, de jurisprudence constante, la protection contre le congé de représailles n'est accordée qu'au locataire qui use de ses droits conformément à la loi (cf. les trois derniers arrêts cités, ibid.). Au regard de l' art. 2 al. 2 CC , et plus précisément du principe "nemo auditur propriam turpitudinem allegans", elle doit être refusée au locataire qui abuse des droits que lui confère l'arrêté fédéral. L' art. 28 al. 3 AMSL procède, du reste, de considérations analogues. Encore convient-il de bien préciser que le fait, pour le locataire, d'avoir succombé, fût-ce totalement, en procédure n'autorise pas, à lui seul, à conclure à l'abus de droit. En effet, même dans cette hypothèse, le locataire qui ignore l'étendue de ses droits, par exemple parce qu'il ne dispose pas des comptes d'exploitation de l'immeuble dans un litige portant sur le loyer, bénéficie néanmoins de la protection contre le congé (BARBEY, L'arrêté fédéral instituant des mesures contre les abus dans le secteur locatif, p. 136, à propos de l' art. 28 al. 3 AMSL ). Ne peut, en revanche, s'en prévaloir le locataire qui entreprend un procès dont il sait ou doit se rendre compte qu'il est voué à l'échec, en particulier celui qui conteste les prétentions du bailleur dans le seul dessein de bénéficier de la protection contre les congés. C'est au bailleur qu'il appartient d'établir le caractère abusif de la contestation, question qui doit être examinée de cas en cas au vu de l'ensemble des circonstances de la cause en litige. b) En l'espèce, la cour cantonale a certes admis que la dénonciation du bail trouvait son origine, en partie du moins, dans les procédures qui avaient opposé les cocontractants. Il ressort toutefois de ses constatations de fait que la locataire devait se rendre BGE 114 II 79 S. 82 compte à l'évidence de l'absence de fondement de sa dernière opposition. La demanderesse ne pouvait, en effet, espérer obtenir gain de cause dans un procès où elle ne contestait pas la hausse de loyer, mais uniquement les réserves formulées à cette occasion par le bailleur, réserves qui étaient pourtant identiques à celles qu'elle avait expressément acceptées l'année précédente dans le cadre de la transaction conclue avec la défenderesse. Au demeurant, elle ne pouvait ignorer l'étendue de ses droits, du moment qu'elle avait confié la défense de ses intérêts à une association de locataires. Il apparaît ainsi que la demanderesse n'a pas usé de ses droits conformément à la loi. Par conséquent, elle ne saurait invoquer le bénéfice des art. 31 ch. 1 al. 2 AMSL et 20 al. 1 CO pour faire admettre la nullité du congé litigieux.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